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eastAsia"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#112bis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R4-2416347</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Hefei, Anhui, China, 14th – 18th October, 2024</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6.16.3</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NR demodulation performance requirements for NR BS with MMSE-IRC receiver was approved in [1], wherein the objectives related to NR BS MMSE-IRC receiver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7"/>
              </w:numPr>
              <w:overflowPunct/>
              <w:autoSpaceDE/>
              <w:autoSpaceDN/>
              <w:adjustRightInd/>
              <w:snapToGrid w:val="0"/>
              <w:spacing w:after="120"/>
              <w:textAlignment w:val="auto"/>
              <w:rPr>
                <w:lang w:eastAsia="zh-CN"/>
              </w:rPr>
            </w:pPr>
            <w:r>
              <w:rPr>
                <w:lang w:eastAsia="zh-CN"/>
              </w:rPr>
              <w:t xml:space="preserve">Define </w:t>
            </w:r>
            <w:r>
              <w:rPr>
                <w:rFonts w:hint="eastAsia"/>
                <w:lang w:eastAsia="zh-CN"/>
              </w:rPr>
              <w:t>FR1 PUSCH</w:t>
            </w:r>
            <w:r>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Pr>
                <w:lang w:eastAsia="zh-CN"/>
              </w:rPr>
              <w:t>based on the following assumptions:</w:t>
            </w:r>
          </w:p>
          <w:p>
            <w:pPr>
              <w:numPr>
                <w:ilvl w:val="1"/>
                <w:numId w:val="7"/>
              </w:numPr>
              <w:overflowPunct/>
              <w:autoSpaceDE/>
              <w:autoSpaceDN/>
              <w:adjustRightInd/>
              <w:snapToGrid w:val="0"/>
              <w:spacing w:after="120"/>
              <w:textAlignment w:val="auto"/>
              <w:rPr>
                <w:lang w:eastAsia="zh-CN"/>
              </w:rPr>
            </w:pPr>
            <w:r>
              <w:rPr>
                <w:lang w:eastAsia="zh-CN"/>
              </w:rPr>
              <w:t xml:space="preserve">Receiver type: MMSE-IRC receiver </w:t>
            </w:r>
          </w:p>
          <w:p>
            <w:pPr>
              <w:numPr>
                <w:ilvl w:val="1"/>
                <w:numId w:val="7"/>
              </w:numPr>
              <w:overflowPunct/>
              <w:autoSpaceDE/>
              <w:autoSpaceDN/>
              <w:adjustRightInd/>
              <w:snapToGrid w:val="0"/>
              <w:spacing w:after="120"/>
              <w:textAlignment w:val="auto"/>
              <w:rPr>
                <w:rFonts w:ascii="Times" w:hAnsi="Times" w:eastAsia="Batang"/>
                <w:szCs w:val="24"/>
                <w:lang w:eastAsia="zh-CN"/>
              </w:rPr>
            </w:pPr>
            <w:r>
              <w:rPr>
                <w:lang w:eastAsia="zh-CN"/>
              </w:rPr>
              <w:t>Scenarios:</w:t>
            </w:r>
          </w:p>
          <w:p>
            <w:pPr>
              <w:numPr>
                <w:ilvl w:val="2"/>
                <w:numId w:val="7"/>
              </w:numPr>
              <w:overflowPunct/>
              <w:autoSpaceDE/>
              <w:autoSpaceDN/>
              <w:adjustRightInd/>
              <w:snapToGrid w:val="0"/>
              <w:spacing w:after="120"/>
              <w:textAlignment w:val="auto"/>
              <w:rPr>
                <w:lang w:eastAsia="zh-CN"/>
              </w:rPr>
            </w:pPr>
            <w:r>
              <w:rPr>
                <w:lang w:eastAsia="zh-CN"/>
              </w:rPr>
              <w:t>FDD synchronous deployments</w:t>
            </w:r>
          </w:p>
          <w:p>
            <w:pPr>
              <w:numPr>
                <w:ilvl w:val="2"/>
                <w:numId w:val="7"/>
              </w:numPr>
              <w:overflowPunct/>
              <w:autoSpaceDE/>
              <w:autoSpaceDN/>
              <w:adjustRightInd/>
              <w:snapToGrid w:val="0"/>
              <w:spacing w:after="120"/>
              <w:textAlignment w:val="auto"/>
              <w:rPr>
                <w:lang w:eastAsia="zh-CN"/>
              </w:rPr>
            </w:pPr>
            <w:r>
              <w:rPr>
                <w:lang w:eastAsia="zh-CN"/>
              </w:rPr>
              <w:t>TDD synchronous deployments with aligned UL:DL configurations among cells</w:t>
            </w:r>
          </w:p>
          <w:p>
            <w:pPr>
              <w:numPr>
                <w:ilvl w:val="2"/>
                <w:numId w:val="7"/>
              </w:numPr>
              <w:overflowPunct/>
              <w:autoSpaceDE/>
              <w:autoSpaceDN/>
              <w:adjustRightInd/>
              <w:snapToGrid w:val="0"/>
              <w:spacing w:after="120"/>
              <w:textAlignment w:val="auto"/>
              <w:rPr>
                <w:lang w:eastAsia="zh-CN"/>
              </w:rPr>
            </w:pPr>
            <w:r>
              <w:rPr>
                <w:lang w:eastAsia="zh-CN"/>
              </w:rPr>
              <w:t>Slot-based transmission and aligned SCS among cells</w:t>
            </w:r>
          </w:p>
          <w:p>
            <w:pPr>
              <w:numPr>
                <w:ilvl w:val="1"/>
                <w:numId w:val="7"/>
              </w:numPr>
              <w:overflowPunct/>
              <w:autoSpaceDE/>
              <w:autoSpaceDN/>
              <w:adjustRightInd/>
              <w:snapToGrid w:val="0"/>
              <w:spacing w:after="120"/>
              <w:textAlignment w:val="auto"/>
              <w:rPr>
                <w:rFonts w:hint="default"/>
                <w:szCs w:val="22"/>
                <w:vertAlign w:val="baseline"/>
                <w:lang w:val="en-US" w:eastAsia="zh-CN"/>
              </w:rPr>
            </w:pPr>
            <w:r>
              <w:rPr>
                <w:lang w:eastAsia="zh-CN"/>
              </w:rPr>
              <w:t>Reuse LTE based interference profile in TR 36.884 as a starting point. Other interference profiles are not precluded.</w:t>
            </w:r>
          </w:p>
        </w:tc>
      </w:tr>
    </w:tbl>
    <w:p>
      <w:pPr>
        <w:spacing w:before="120" w:after="120"/>
        <w:rPr>
          <w:rFonts w:hint="default"/>
          <w:lang w:val="en-US" w:eastAsia="zh-CN"/>
        </w:rPr>
      </w:pPr>
      <w:r>
        <w:rPr>
          <w:rFonts w:hint="eastAsia"/>
          <w:lang w:val="en-US" w:eastAsia="zh-CN"/>
        </w:rPr>
        <w:t xml:space="preserve">In this contribution, we give some initial discussion on the NR BS MMSE-IRC receiver. </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 </w:t>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bookmarkStart w:id="4" w:name="OLE_LINK23"/>
      <w:bookmarkStart w:id="5" w:name="OLE_LINK66"/>
      <w:bookmarkStart w:id="6" w:name="OLE_LINK6"/>
      <w:bookmarkStart w:id="7" w:name="OLE_LINK41"/>
      <w:r>
        <w:rPr>
          <w:rFonts w:hint="eastAsia"/>
          <w:sz w:val="20"/>
          <w:szCs w:val="20"/>
          <w:lang w:val="en-US" w:eastAsia="zh-CN"/>
        </w:rPr>
        <w:t>Based on the conclusion in RAN4 #112 meeting, some issues for BS demodulation performance requirements MMSE-IRC need further 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the test scenarios, 2 proposals are proposed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val="0"/>
              <w:topLinePunct w:val="0"/>
              <w:autoSpaceDE w:val="0"/>
              <w:autoSpaceDN w:val="0"/>
              <w:bidi w:val="0"/>
              <w:adjustRightInd w:val="0"/>
              <w:snapToGrid w:val="0"/>
              <w:spacing w:after="180" w:afterLines="0" w:line="240" w:lineRule="auto"/>
              <w:textAlignment w:val="baseline"/>
              <w:rPr>
                <w:b/>
                <w:sz w:val="20"/>
                <w:szCs w:val="20"/>
                <w:u w:val="single"/>
              </w:rPr>
            </w:pPr>
            <w:r>
              <w:rPr>
                <w:b/>
                <w:sz w:val="20"/>
                <w:szCs w:val="20"/>
                <w:u w:val="single"/>
              </w:rPr>
              <w:t>Test scenarios</w:t>
            </w:r>
          </w:p>
          <w:p>
            <w:pPr>
              <w:pStyle w:val="33"/>
              <w:keepNext w:val="0"/>
              <w:keepLines w:val="0"/>
              <w:pageBreakBefore w:val="0"/>
              <w:numPr>
                <w:ilvl w:val="0"/>
                <w:numId w:val="9"/>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sz w:val="20"/>
                <w:szCs w:val="20"/>
                <w:lang w:eastAsia="zh-CN"/>
              </w:rPr>
            </w:pPr>
            <w:r>
              <w:rPr>
                <w:rFonts w:hint="eastAsia" w:eastAsia="宋体"/>
                <w:sz w:val="20"/>
                <w:szCs w:val="20"/>
                <w:lang w:eastAsia="zh-CN"/>
              </w:rPr>
              <w:t>Proposals</w:t>
            </w:r>
            <w:r>
              <w:rPr>
                <w:rFonts w:eastAsia="宋体"/>
                <w:sz w:val="20"/>
                <w:szCs w:val="20"/>
                <w:lang w:eastAsia="zh-CN"/>
              </w:rPr>
              <w:t>:</w:t>
            </w:r>
          </w:p>
          <w:p>
            <w:pPr>
              <w:keepNext w:val="0"/>
              <w:keepLines w:val="0"/>
              <w:pageBreakBefore w:val="0"/>
              <w:widowControl w:val="0"/>
              <w:numPr>
                <w:ilvl w:val="1"/>
                <w:numId w:val="10"/>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Proposal 1: Cover HomNet and HetNet scenarios, i.e., DIP set1 and set2</w:t>
            </w:r>
            <w:r>
              <w:rPr>
                <w:rFonts w:cs="Arial"/>
                <w:color w:val="000000"/>
                <w:sz w:val="20"/>
                <w:szCs w:val="20"/>
              </w:rPr>
              <w:t xml:space="preserve"> in TS36.104</w:t>
            </w:r>
          </w:p>
          <w:p>
            <w:pPr>
              <w:keepNext w:val="0"/>
              <w:keepLines w:val="0"/>
              <w:pageBreakBefore w:val="0"/>
              <w:widowControl w:val="0"/>
              <w:numPr>
                <w:ilvl w:val="1"/>
                <w:numId w:val="10"/>
              </w:numPr>
              <w:tabs>
                <w:tab w:val="left" w:pos="484"/>
                <w:tab w:val="left" w:pos="709"/>
                <w:tab w:val="left" w:pos="1440"/>
                <w:tab w:val="left" w:pos="1701"/>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rFonts w:hint="eastAsia"/>
                <w:sz w:val="20"/>
                <w:szCs w:val="20"/>
                <w:vertAlign w:val="baseline"/>
                <w:lang w:val="en-US" w:eastAsia="zh-CN"/>
              </w:rPr>
            </w:pPr>
            <w:r>
              <w:rPr>
                <w:sz w:val="20"/>
                <w:szCs w:val="20"/>
                <w:lang w:eastAsia="zh-CN"/>
              </w:rPr>
              <w:t>Proposal 2: Consider the scenario with different TDD patterns between BS and discuss how to model the corresponding interference profile</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As the requirements for HomNet and HetNet are defined in LTE, it is straightforward to cover these 2 scenarios for NR BS MMSE-IRC receiver. And these scenarios are reflected by DIP set1 and DIP set2 in TS 36.104.</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With regard to proposal 2, such interference exists as different gNB may adopt different TDD pattern. If this type of interference is involved the interference profile needs to be discussed. Therefore, the above proposal 1 is prioritized and proposal 2 needs further discussion since additional interference source is to be reflected.</w:t>
      </w: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1. Proposal 1 is prioritized and proposal 2 needs further 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interference modelling criteria, 2 criteria are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val="0"/>
              <w:topLinePunct w:val="0"/>
              <w:autoSpaceDE w:val="0"/>
              <w:autoSpaceDN w:val="0"/>
              <w:bidi w:val="0"/>
              <w:adjustRightInd w:val="0"/>
              <w:snapToGrid w:val="0"/>
              <w:spacing w:after="180" w:line="240" w:lineRule="auto"/>
              <w:textAlignment w:val="baseline"/>
              <w:rPr>
                <w:b/>
                <w:sz w:val="20"/>
                <w:szCs w:val="20"/>
                <w:u w:val="single"/>
              </w:rPr>
            </w:pPr>
            <w:r>
              <w:rPr>
                <w:b/>
                <w:sz w:val="20"/>
                <w:szCs w:val="20"/>
                <w:u w:val="single"/>
              </w:rPr>
              <w:t xml:space="preserve">Interference </w:t>
            </w:r>
            <w:r>
              <w:rPr>
                <w:b/>
                <w:sz w:val="20"/>
                <w:szCs w:val="20"/>
                <w:u w:val="single"/>
                <w:lang w:eastAsia="zh-CN"/>
              </w:rPr>
              <w:t>modelling</w:t>
            </w:r>
            <w:r>
              <w:rPr>
                <w:b/>
                <w:sz w:val="20"/>
                <w:szCs w:val="20"/>
                <w:u w:val="single"/>
              </w:rPr>
              <w:t xml:space="preserve"> criteria</w:t>
            </w:r>
          </w:p>
          <w:p>
            <w:pPr>
              <w:pStyle w:val="33"/>
              <w:keepNext w:val="0"/>
              <w:keepLines w:val="0"/>
              <w:pageBreakBefore w:val="0"/>
              <w:numPr>
                <w:ilvl w:val="0"/>
                <w:numId w:val="9"/>
              </w:numPr>
              <w:kinsoku/>
              <w:wordWrap/>
              <w:overflowPunct/>
              <w:topLinePunct w:val="0"/>
              <w:autoSpaceDE/>
              <w:autoSpaceDN/>
              <w:bidi w:val="0"/>
              <w:adjustRightInd w:val="0"/>
              <w:snapToGrid w:val="0"/>
              <w:spacing w:before="60" w:after="60" w:line="240" w:lineRule="auto"/>
              <w:ind w:left="284" w:hanging="284" w:firstLineChars="0"/>
              <w:textAlignment w:val="auto"/>
              <w:rPr>
                <w:rFonts w:eastAsia="宋体"/>
                <w:sz w:val="20"/>
                <w:szCs w:val="20"/>
                <w:lang w:eastAsia="zh-CN"/>
              </w:rPr>
            </w:pPr>
            <w:r>
              <w:rPr>
                <w:rFonts w:eastAsia="宋体"/>
                <w:sz w:val="20"/>
                <w:szCs w:val="20"/>
                <w:lang w:eastAsia="zh-CN"/>
              </w:rPr>
              <w:t>Candidate options on interference modelling criteria:</w:t>
            </w:r>
          </w:p>
          <w:p>
            <w:pPr>
              <w:keepNext w:val="0"/>
              <w:keepLines w:val="0"/>
              <w:pageBreakBefore w:val="0"/>
              <w:widowControl w:val="0"/>
              <w:numPr>
                <w:ilvl w:val="1"/>
                <w:numId w:val="10"/>
              </w:numPr>
              <w:tabs>
                <w:tab w:val="left" w:pos="484"/>
                <w:tab w:val="left" w:pos="709"/>
                <w:tab w:val="left" w:pos="1440"/>
                <w:tab w:val="left" w:pos="1701"/>
              </w:tabs>
              <w:kinsoku/>
              <w:wordWrap/>
              <w:overflowPunct/>
              <w:topLinePunct w:val="0"/>
              <w:autoSpaceDE/>
              <w:autoSpaceDN w:val="0"/>
              <w:bidi w:val="0"/>
              <w:adjustRightInd w:val="0"/>
              <w:snapToGrid w:val="0"/>
              <w:spacing w:before="60" w:after="60" w:line="240" w:lineRule="auto"/>
              <w:ind w:left="730" w:leftChars="213" w:hanging="283"/>
              <w:textAlignment w:val="auto"/>
              <w:rPr>
                <w:sz w:val="20"/>
                <w:szCs w:val="20"/>
                <w:lang w:eastAsia="zh-CN"/>
              </w:rPr>
            </w:pPr>
            <w:r>
              <w:rPr>
                <w:sz w:val="20"/>
                <w:szCs w:val="20"/>
                <w:lang w:eastAsia="zh-CN"/>
              </w:rPr>
              <w:t>Option 1: Use INR-based modelling + SNR-based requirement definition criteria and transfer the DIP value into INR value</w:t>
            </w:r>
          </w:p>
          <w:p>
            <w:pPr>
              <w:keepNext w:val="0"/>
              <w:keepLines w:val="0"/>
              <w:pageBreakBefore w:val="0"/>
              <w:widowControl w:val="0"/>
              <w:numPr>
                <w:ilvl w:val="1"/>
                <w:numId w:val="10"/>
              </w:numPr>
              <w:tabs>
                <w:tab w:val="left" w:pos="484"/>
                <w:tab w:val="left" w:pos="709"/>
                <w:tab w:val="left" w:pos="1440"/>
                <w:tab w:val="left" w:pos="1701"/>
              </w:tabs>
              <w:kinsoku/>
              <w:wordWrap/>
              <w:overflowPunct/>
              <w:topLinePunct w:val="0"/>
              <w:autoSpaceDE/>
              <w:autoSpaceDN w:val="0"/>
              <w:bidi w:val="0"/>
              <w:adjustRightInd w:val="0"/>
              <w:snapToGrid w:val="0"/>
              <w:spacing w:before="60" w:after="6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2: DIP-based modelling</w:t>
            </w:r>
          </w:p>
          <w:p>
            <w:pPr>
              <w:pStyle w:val="33"/>
              <w:keepNext w:val="0"/>
              <w:keepLines w:val="0"/>
              <w:pageBreakBefore w:val="0"/>
              <w:numPr>
                <w:ilvl w:val="0"/>
                <w:numId w:val="9"/>
              </w:numPr>
              <w:kinsoku/>
              <w:wordWrap/>
              <w:overflowPunct/>
              <w:topLinePunct w:val="0"/>
              <w:autoSpaceDE/>
              <w:autoSpaceDN/>
              <w:bidi w:val="0"/>
              <w:adjustRightInd w:val="0"/>
              <w:snapToGrid w:val="0"/>
              <w:spacing w:before="60" w:after="60" w:line="240" w:lineRule="auto"/>
              <w:ind w:left="284" w:hanging="284" w:firstLineChars="0"/>
              <w:textAlignment w:val="auto"/>
              <w:rPr>
                <w:rFonts w:eastAsia="宋体"/>
                <w:sz w:val="20"/>
                <w:szCs w:val="20"/>
                <w:lang w:eastAsia="zh-CN"/>
              </w:rPr>
            </w:pPr>
            <w:r>
              <w:rPr>
                <w:rFonts w:eastAsia="宋体"/>
                <w:sz w:val="20"/>
                <w:szCs w:val="20"/>
                <w:lang w:eastAsia="zh-CN"/>
              </w:rPr>
              <w:t>Candidate options on DIP definition:</w:t>
            </w:r>
          </w:p>
          <w:p>
            <w:pPr>
              <w:keepNext w:val="0"/>
              <w:keepLines w:val="0"/>
              <w:pageBreakBefore w:val="0"/>
              <w:widowControl w:val="0"/>
              <w:numPr>
                <w:ilvl w:val="1"/>
                <w:numId w:val="10"/>
              </w:numPr>
              <w:tabs>
                <w:tab w:val="left" w:pos="484"/>
                <w:tab w:val="left" w:pos="709"/>
                <w:tab w:val="left" w:pos="1440"/>
                <w:tab w:val="left" w:pos="1701"/>
              </w:tabs>
              <w:kinsoku/>
              <w:wordWrap/>
              <w:overflowPunct/>
              <w:topLinePunct w:val="0"/>
              <w:autoSpaceDE/>
              <w:autoSpaceDN w:val="0"/>
              <w:bidi w:val="0"/>
              <w:adjustRightInd w:val="0"/>
              <w:snapToGrid w:val="0"/>
              <w:spacing w:before="60" w:after="6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1: Reuse definition of DIP in sub-clause B.6.1 of TS 36.104</w:t>
            </w:r>
          </w:p>
          <w:p>
            <w:pPr>
              <w:pStyle w:val="62"/>
              <w:keepNext w:val="0"/>
              <w:keepLines w:val="0"/>
              <w:pageBreakBefore w:val="0"/>
              <w:widowControl w:val="0"/>
              <w:kinsoku/>
              <w:wordWrap/>
              <w:overflowPunct/>
              <w:topLinePunct w:val="0"/>
              <w:autoSpaceDE/>
              <w:autoSpaceDN/>
              <w:bidi w:val="0"/>
              <w:adjustRightInd w:val="0"/>
              <w:snapToGrid w:val="0"/>
              <w:spacing w:before="120" w:after="120" w:line="240" w:lineRule="auto"/>
              <w:ind w:left="0" w:leftChars="0" w:firstLine="0" w:firstLineChars="0"/>
              <w:textAlignment w:val="auto"/>
              <w:rPr>
                <w:rFonts w:hint="default"/>
                <w:sz w:val="20"/>
                <w:szCs w:val="20"/>
                <w:vertAlign w:val="baseline"/>
                <w:lang w:val="en-US" w:eastAsia="zh-CN"/>
              </w:rPr>
            </w:pPr>
            <w:r>
              <w:rPr>
                <w:rFonts w:hint="eastAsia"/>
                <w:sz w:val="20"/>
                <w:szCs w:val="20"/>
                <w:vertAlign w:val="baseline"/>
                <w:lang w:val="en-US" w:eastAsia="zh-CN"/>
              </w:rPr>
              <w:t>...</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For the 2 options, option 2 uses the system level simulation derived DIP to define BS MMSE-IRC requirements. Option 1 is proposed by company that INR-based modelling + SNR-based definition can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For option 1, the requirements is defined by SNR, and the DIP is transferred into interference power in INR. The relationship between DIPi, I and noise power is as below.</w:t>
      </w:r>
    </w:p>
    <w:p>
      <w:pPr>
        <w:keepLines/>
        <w:tabs>
          <w:tab w:val="center" w:pos="4536"/>
          <w:tab w:val="right" w:pos="9072"/>
        </w:tabs>
        <w:jc w:val="center"/>
        <w:rPr>
          <w:lang w:eastAsia="zh-CN"/>
        </w:rPr>
      </w:pPr>
      <w:r>
        <w:rPr>
          <w:position w:val="-28"/>
          <w:lang w:eastAsia="zh-CN"/>
        </w:rPr>
        <w:drawing>
          <wp:inline distT="0" distB="0" distL="114300" distR="114300">
            <wp:extent cx="810260" cy="552450"/>
            <wp:effectExtent l="0" t="0" r="0" b="0"/>
            <wp:docPr id="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
                    <pic:cNvPicPr>
                      <a:picLocks noChangeAspect="1"/>
                    </pic:cNvPicPr>
                  </pic:nvPicPr>
                  <pic:blipFill>
                    <a:blip r:embed="rId12"/>
                    <a:stretch>
                      <a:fillRect/>
                    </a:stretch>
                  </pic:blipFill>
                  <pic:spPr>
                    <a:xfrm>
                      <a:off x="0" y="0"/>
                      <a:ext cx="810260" cy="552450"/>
                    </a:xfrm>
                    <a:prstGeom prst="rect">
                      <a:avLst/>
                    </a:prstGeom>
                    <a:noFill/>
                    <a:ln>
                      <a:noFill/>
                    </a:ln>
                  </pic:spPr>
                </pic:pic>
              </a:graphicData>
            </a:graphic>
          </wp:inline>
        </w:drawing>
      </w:r>
      <w:r>
        <w:rPr>
          <w:lang w:eastAsia="zh-CN"/>
        </w:rPr>
        <w:t xml:space="preserve">, </w:t>
      </w:r>
      <w:r>
        <w:rPr>
          <w:position w:val="-28"/>
          <w:lang w:eastAsia="zh-CN"/>
        </w:rPr>
        <w:drawing>
          <wp:inline distT="0" distB="0" distL="114300" distR="114300">
            <wp:extent cx="1353820" cy="520700"/>
            <wp:effectExtent l="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13"/>
                    <a:stretch>
                      <a:fillRect/>
                    </a:stretch>
                  </pic:blipFill>
                  <pic:spPr>
                    <a:xfrm>
                      <a:off x="0" y="0"/>
                      <a:ext cx="1353820" cy="52070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From the above formula, each interference power can be calculated and added to the receiver. Since this method is used from LTE requirement definition. It is better to reuse this method to define the BS MMSE-IRC requirements.</w:t>
      </w: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2. To adopt option 2: DIP-based modelling for interference modeling.</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With regard to interference profile, the following is reached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rPr>
            </w:pPr>
            <w:r>
              <w:rPr>
                <w:b/>
                <w:u w:val="single"/>
              </w:rPr>
              <w:t>Interference profile</w:t>
            </w:r>
          </w:p>
          <w:p>
            <w:pPr>
              <w:pStyle w:val="33"/>
              <w:numPr>
                <w:ilvl w:val="0"/>
                <w:numId w:val="9"/>
              </w:numPr>
              <w:overflowPunct/>
              <w:autoSpaceDE/>
              <w:autoSpaceDN/>
              <w:adjustRightInd/>
              <w:snapToGrid w:val="0"/>
              <w:spacing w:before="60" w:after="60"/>
              <w:ind w:left="284" w:hanging="284" w:firstLineChars="0"/>
              <w:textAlignment w:val="auto"/>
              <w:rPr>
                <w:rFonts w:eastAsia="宋体"/>
                <w:lang w:eastAsia="zh-CN"/>
              </w:rPr>
            </w:pPr>
            <w:r>
              <w:rPr>
                <w:rFonts w:hint="eastAsia" w:eastAsia="宋体"/>
                <w:lang w:val="en-US" w:eastAsia="zh-CN"/>
              </w:rPr>
              <w:t>...</w:t>
            </w:r>
          </w:p>
          <w:p>
            <w:pPr>
              <w:pStyle w:val="33"/>
              <w:numPr>
                <w:ilvl w:val="0"/>
                <w:numId w:val="9"/>
              </w:numPr>
              <w:overflowPunct/>
              <w:autoSpaceDE/>
              <w:autoSpaceDN/>
              <w:adjustRightInd/>
              <w:snapToGrid w:val="0"/>
              <w:spacing w:before="60" w:after="60"/>
              <w:ind w:left="284" w:hanging="284" w:firstLineChars="0"/>
              <w:textAlignment w:val="auto"/>
              <w:rPr>
                <w:rFonts w:eastAsia="宋体"/>
                <w:lang w:eastAsia="zh-CN"/>
              </w:rPr>
            </w:pPr>
            <w:r>
              <w:rPr>
                <w:rFonts w:eastAsia="宋体"/>
                <w:lang w:eastAsia="zh-CN"/>
              </w:rPr>
              <w:t>On interference power level:</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Reuse the LTE interference power level as a start point, and check performance gain of MMSE-IRC over baseline MMSE.</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 xml:space="preserve">It is not precluded for companies to bring system level simulation on other profiles. </w:t>
            </w:r>
          </w:p>
          <w:p>
            <w:pPr>
              <w:widowControl w:val="0"/>
              <w:numPr>
                <w:ilvl w:val="1"/>
                <w:numId w:val="10"/>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eastAsia"/>
                <w:sz w:val="20"/>
                <w:szCs w:val="20"/>
                <w:vertAlign w:val="baseline"/>
                <w:lang w:val="en-US" w:eastAsia="zh-CN"/>
              </w:rPr>
            </w:pPr>
            <w:r>
              <w:rPr>
                <w:rFonts w:hint="eastAsia"/>
                <w:lang w:eastAsia="zh-CN"/>
              </w:rPr>
              <w:t>F</w:t>
            </w:r>
            <w:r>
              <w:rPr>
                <w:lang w:eastAsia="zh-CN"/>
              </w:rPr>
              <w:t>FS how to account for HPUE in existing LTE profiles.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The description of the interference profile in the revised WI is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vertAlign w:val="baseline"/>
                <w:lang w:val="en-US" w:eastAsia="zh-CN"/>
              </w:rPr>
            </w:pPr>
            <w:r>
              <w:rPr>
                <w:rFonts w:hint="eastAsia"/>
                <w:lang w:val="en-US" w:eastAsia="zh-CN"/>
              </w:rPr>
              <w:t>Reuse LTE based interference profile in TR 36.884 as a starting point. Other interference profiles are not precluded.</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It cannot be determined whether there will be a significant change in the gain of MMSE-IRC relative to MMSE when HPUE is present as an interference source. From our initial simulation results which reuse LTE DIP sets, it can be seen that the MMSE-IRC has significant gain compared to MMSE. The gain varies when different parameters such as the number of Rx, selection of DIP sets and TDL channel settings are selected. If HPUE is to be reflected in the interference profile, the parameters of system level simulation need to be reached.</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 xml:space="preserve">Proposal 3. </w:t>
      </w:r>
      <w:r>
        <w:rPr>
          <w:rFonts w:hint="eastAsia"/>
          <w:b/>
          <w:bCs/>
          <w:i/>
          <w:iCs/>
          <w:sz w:val="20"/>
        </w:rPr>
        <w:t>Reus</w:t>
      </w:r>
      <w:r>
        <w:rPr>
          <w:rFonts w:hint="eastAsia"/>
          <w:b/>
          <w:bCs/>
          <w:i/>
          <w:iCs/>
          <w:sz w:val="20"/>
          <w:lang w:val="en-US" w:eastAsia="zh-CN"/>
        </w:rPr>
        <w:t>ing</w:t>
      </w:r>
      <w:r>
        <w:rPr>
          <w:rFonts w:hint="eastAsia"/>
          <w:b/>
          <w:bCs/>
          <w:i/>
          <w:iCs/>
          <w:sz w:val="20"/>
        </w:rPr>
        <w:t xml:space="preserve"> LTE based interference profile </w:t>
      </w:r>
      <w:r>
        <w:rPr>
          <w:rFonts w:hint="eastAsia"/>
          <w:b/>
          <w:bCs/>
          <w:i/>
          <w:iCs/>
          <w:sz w:val="20"/>
          <w:lang w:val="en-US" w:eastAsia="zh-CN"/>
        </w:rPr>
        <w:t>is preferred. We also hold an open view on reflecting HPUE in the interference profile.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 xml:space="preserve">With regard to channel bandwidth, it is necessary to check all bandwidth configurations supported by an SCS.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kinsoku/>
              <w:wordWrap/>
              <w:overflowPunct/>
              <w:topLinePunct w:val="0"/>
              <w:autoSpaceDE/>
              <w:autoSpaceDN/>
              <w:bidi w:val="0"/>
              <w:adjustRightInd w:val="0"/>
              <w:snapToGrid/>
              <w:spacing w:after="180" w:afterLines="0" w:line="240" w:lineRule="auto"/>
              <w:textAlignment w:val="auto"/>
              <w:rPr>
                <w:b/>
                <w:sz w:val="20"/>
                <w:szCs w:val="20"/>
                <w:u w:val="single"/>
              </w:rPr>
            </w:pPr>
            <w:r>
              <w:rPr>
                <w:b/>
                <w:sz w:val="20"/>
                <w:szCs w:val="20"/>
                <w:u w:val="single"/>
              </w:rPr>
              <w:t>Channel bandwidth</w:t>
            </w:r>
          </w:p>
          <w:p>
            <w:pPr>
              <w:pStyle w:val="33"/>
              <w:keepNext w:val="0"/>
              <w:keepLines w:val="0"/>
              <w:pageBreakBefore w:val="0"/>
              <w:numPr>
                <w:ilvl w:val="0"/>
                <w:numId w:val="9"/>
              </w:numPr>
              <w:kinsoku/>
              <w:wordWrap/>
              <w:overflowPunct/>
              <w:topLinePunct w:val="0"/>
              <w:autoSpaceDE/>
              <w:autoSpaceDN/>
              <w:bidi w:val="0"/>
              <w:adjustRightInd w:val="0"/>
              <w:snapToGrid/>
              <w:spacing w:before="60" w:after="180" w:afterLines="0" w:line="240" w:lineRule="auto"/>
              <w:ind w:left="284" w:hanging="284" w:firstLineChars="0"/>
              <w:textAlignment w:val="auto"/>
              <w:rPr>
                <w:rFonts w:eastAsia="宋体"/>
                <w:sz w:val="20"/>
                <w:szCs w:val="20"/>
                <w:lang w:eastAsia="zh-CN"/>
              </w:rPr>
            </w:pPr>
            <w:r>
              <w:rPr>
                <w:rFonts w:eastAsia="宋体"/>
                <w:sz w:val="20"/>
                <w:szCs w:val="20"/>
                <w:lang w:eastAsia="zh-CN"/>
              </w:rPr>
              <w:t>Candidate options for CP-OFDM:</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bidi w:val="0"/>
              <w:adjustRightInd w:val="0"/>
              <w:snapToGrid/>
              <w:spacing w:before="60" w:after="180" w:afterLines="0" w:line="240" w:lineRule="auto"/>
              <w:ind w:left="730" w:leftChars="213" w:hanging="283"/>
              <w:textAlignment w:val="auto"/>
              <w:rPr>
                <w:sz w:val="20"/>
                <w:szCs w:val="20"/>
                <w:lang w:eastAsia="zh-CN"/>
              </w:rPr>
            </w:pPr>
            <w:r>
              <w:rPr>
                <w:sz w:val="20"/>
                <w:szCs w:val="20"/>
                <w:lang w:eastAsia="zh-CN"/>
              </w:rPr>
              <w:t>Option 1:</w:t>
            </w:r>
          </w:p>
          <w:p>
            <w:pPr>
              <w:pStyle w:val="33"/>
              <w:keepNext w:val="0"/>
              <w:keepLines w:val="0"/>
              <w:pageBreakBefore w:val="0"/>
              <w:numPr>
                <w:ilvl w:val="0"/>
                <w:numId w:val="11"/>
              </w:numPr>
              <w:kinsoku/>
              <w:wordWrap/>
              <w:overflowPunct/>
              <w:topLinePunct w:val="0"/>
              <w:autoSpaceDE/>
              <w:autoSpaceDN/>
              <w:bidi w:val="0"/>
              <w:adjustRightInd w:val="0"/>
              <w:snapToGrid/>
              <w:spacing w:before="60" w:after="180" w:afterLines="0" w:line="240" w:lineRule="auto"/>
              <w:ind w:firstLineChars="0"/>
              <w:textAlignment w:val="auto"/>
              <w:rPr>
                <w:sz w:val="20"/>
                <w:szCs w:val="20"/>
                <w:lang w:eastAsia="zh-CN"/>
              </w:rPr>
            </w:pPr>
            <w:r>
              <w:rPr>
                <w:sz w:val="20"/>
                <w:szCs w:val="20"/>
                <w:lang w:eastAsia="zh-CN"/>
              </w:rPr>
              <w:t>For 15kHz SCS, cover 5MHz, 10MHz, 20MHz</w:t>
            </w:r>
          </w:p>
          <w:p>
            <w:pPr>
              <w:pStyle w:val="33"/>
              <w:keepNext w:val="0"/>
              <w:keepLines w:val="0"/>
              <w:pageBreakBefore w:val="0"/>
              <w:numPr>
                <w:ilvl w:val="0"/>
                <w:numId w:val="11"/>
              </w:numPr>
              <w:kinsoku/>
              <w:wordWrap/>
              <w:overflowPunct/>
              <w:topLinePunct w:val="0"/>
              <w:autoSpaceDE/>
              <w:autoSpaceDN/>
              <w:bidi w:val="0"/>
              <w:adjustRightInd w:val="0"/>
              <w:snapToGrid/>
              <w:spacing w:before="60" w:after="180" w:afterLines="0" w:line="240" w:lineRule="auto"/>
              <w:ind w:firstLineChars="0"/>
              <w:textAlignment w:val="auto"/>
              <w:rPr>
                <w:sz w:val="20"/>
                <w:szCs w:val="20"/>
                <w:lang w:eastAsia="zh-CN"/>
              </w:rPr>
            </w:pPr>
            <w:r>
              <w:rPr>
                <w:sz w:val="20"/>
                <w:szCs w:val="20"/>
                <w:lang w:eastAsia="zh-CN"/>
              </w:rPr>
              <w:t>For 30kHz SCS, cover 10MHz, 20MHz, 40MHz, 100MHz</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bidi w:val="0"/>
              <w:adjustRightInd w:val="0"/>
              <w:snapToGrid/>
              <w:spacing w:before="60" w:after="180" w:afterLines="0" w:line="240" w:lineRule="auto"/>
              <w:ind w:left="730" w:leftChars="213" w:hanging="283"/>
              <w:textAlignment w:val="auto"/>
              <w:rPr>
                <w:sz w:val="20"/>
                <w:szCs w:val="20"/>
                <w:lang w:eastAsia="zh-CN"/>
              </w:rPr>
            </w:pPr>
            <w:r>
              <w:rPr>
                <w:sz w:val="20"/>
                <w:szCs w:val="20"/>
                <w:lang w:eastAsia="zh-CN"/>
              </w:rPr>
              <w:t>Option 2: 10MHz/15kHz and 40MHz/30kHz for initial simulation purpose</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bidi w:val="0"/>
              <w:adjustRightInd w:val="0"/>
              <w:snapToGrid/>
              <w:spacing w:before="60" w:after="180" w:afterLines="0" w:line="240" w:lineRule="auto"/>
              <w:ind w:left="730" w:leftChars="213" w:hanging="283"/>
              <w:textAlignment w:val="auto"/>
              <w:rPr>
                <w:sz w:val="20"/>
                <w:szCs w:val="20"/>
                <w:lang w:eastAsia="zh-CN"/>
              </w:rPr>
            </w:pPr>
            <w:r>
              <w:rPr>
                <w:sz w:val="20"/>
                <w:szCs w:val="20"/>
                <w:lang w:eastAsia="zh-CN"/>
              </w:rPr>
              <w:t>Option 3: Minimum channel bandwidth for each SCS, i.e., 5MHz for 15kHz SCS and 10MHz for 30kHz</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bidi w:val="0"/>
              <w:adjustRightInd w:val="0"/>
              <w:snapToGrid/>
              <w:spacing w:before="60" w:after="180" w:afterLines="0" w:line="240" w:lineRule="auto"/>
              <w:ind w:left="730" w:leftChars="213" w:hanging="283"/>
              <w:textAlignment w:val="auto"/>
              <w:rPr>
                <w:rFonts w:hint="eastAsia"/>
                <w:sz w:val="20"/>
                <w:szCs w:val="20"/>
                <w:vertAlign w:val="baseline"/>
                <w:lang w:val="en-US" w:eastAsia="zh-CN"/>
              </w:rPr>
            </w:pPr>
            <w:r>
              <w:rPr>
                <w:sz w:val="20"/>
                <w:szCs w:val="20"/>
                <w:lang w:eastAsia="zh-CN"/>
              </w:rPr>
              <w:t>Option 4: Minimum/Maximum channel bandwidth for each SCS, i.e., 5/50MHz for 15kHz SCS and 10/100MHz for 30kHz</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Figure 2-1 below shows the MMSE vs MMSE-IRC for {15kHz SCS, 5MHz BW} and {30kHz SCS, 10MHz BW}</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3171190" cy="2632075"/>
            <wp:effectExtent l="0" t="0" r="13970"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rcRect l="4567" t="2570" r="7853" b="1148"/>
                    <a:stretch>
                      <a:fillRect/>
                    </a:stretch>
                  </pic:blipFill>
                  <pic:spPr>
                    <a:xfrm>
                      <a:off x="0" y="0"/>
                      <a:ext cx="3171190" cy="2632075"/>
                    </a:xfrm>
                    <a:prstGeom prst="rect">
                      <a:avLst/>
                    </a:prstGeom>
                    <a:noFill/>
                    <a:ln w="9525">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eastAsia="宋体"/>
          <w:lang w:val="en-US" w:eastAsia="zh-CN"/>
        </w:rPr>
      </w:pPr>
      <w:r>
        <w:rPr>
          <w:rFonts w:hint="eastAsia"/>
          <w:lang w:val="en-US" w:eastAsia="zh-CN"/>
        </w:rPr>
        <w:t>Figure 2-1 Performance comparison between MMSE and MMSE-IRC with 15kHz 5MHz and 30kHz 10MHz</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sz w:val="20"/>
          <w:szCs w:val="20"/>
          <w:lang w:val="en-US" w:eastAsia="zh-CN"/>
        </w:rPr>
        <w:t>From figure 2-1, we can find that the operating SNR for 5MHz and 10MHz with same receiving method is similar which is also pointed by other company. Therefore, it is preferred to select one channel bandwidth for each SCS, such 5MHz for 15kHz and 10MHz for 30kHz.</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eastAsia" w:cs="Times New Roman"/>
          <w:kern w:val="2"/>
          <w:sz w:val="20"/>
          <w:szCs w:val="20"/>
          <w:lang w:val="en-US" w:eastAsia="zh-CN" w:bidi="ar-SA"/>
        </w:rPr>
      </w:pPr>
      <w:r>
        <w:rPr>
          <w:rFonts w:hint="eastAsia"/>
          <w:b/>
          <w:bCs/>
          <w:i/>
          <w:iCs/>
          <w:sz w:val="20"/>
          <w:szCs w:val="20"/>
          <w:lang w:val="en-US" w:eastAsia="zh-CN"/>
        </w:rPr>
        <w:t>Proposal 4. To select one channel bandwidth for each SCS, for example, 5MHz BW for 15kHz SCS and 10MHz BW for 30kHz SCS.</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sz w:val="20"/>
          <w:szCs w:val="20"/>
          <w:lang w:val="en-US" w:eastAsia="zh-CN"/>
        </w:rPr>
      </w:pPr>
      <w:r>
        <w:rPr>
          <w:rFonts w:hint="eastAsia"/>
          <w:sz w:val="20"/>
          <w:szCs w:val="20"/>
          <w:lang w:val="en-US" w:eastAsia="zh-CN"/>
        </w:rPr>
        <w:t>With regard to waveform, it is pointed by company that DFT-s-OFDM is rare in the real deployment. If DFT-s-OFDM is rarely used in real deployment we can only define performance requirements for CP-OFDM.</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eastAsia" w:cs="Times New Roman"/>
          <w:kern w:val="2"/>
          <w:sz w:val="20"/>
          <w:szCs w:val="20"/>
          <w:lang w:val="en-US" w:eastAsia="zh-CN" w:bidi="ar-SA"/>
        </w:rPr>
      </w:pPr>
      <w:r>
        <w:rPr>
          <w:rFonts w:hint="eastAsia"/>
          <w:b/>
          <w:bCs/>
          <w:i/>
          <w:iCs/>
          <w:sz w:val="20"/>
          <w:szCs w:val="20"/>
          <w:lang w:val="en-US" w:eastAsia="zh-CN"/>
        </w:rPr>
        <w:t>Proposal 5. If DFT-s-OFDM is rarely used in real deployment, we can only define the performance requirements for CP-OFDM.</w:t>
      </w:r>
    </w:p>
    <w:p>
      <w:pPr>
        <w:pStyle w:val="62"/>
        <w:keepNext w:val="0"/>
        <w:keepLines w:val="0"/>
        <w:pageBreakBefore w:val="0"/>
        <w:widowControl w:val="0"/>
        <w:kinsoku/>
        <w:wordWrap/>
        <w:overflowPunct/>
        <w:topLinePunct w:val="0"/>
        <w:autoSpaceDE/>
        <w:autoSpaceDN/>
        <w:bidi w:val="0"/>
        <w:adjustRightInd w:val="0"/>
        <w:snapToGrid w:val="0"/>
        <w:spacing w:before="120" w:after="120"/>
        <w:ind w:left="0" w:firstLine="0"/>
        <w:textAlignment w:val="auto"/>
        <w:rPr>
          <w:rFonts w:hint="eastAsia" w:cs="Times New Roman"/>
          <w:kern w:val="2"/>
          <w:sz w:val="20"/>
          <w:szCs w:val="20"/>
          <w:lang w:val="en-US" w:eastAsia="zh-CN" w:bidi="ar-SA"/>
        </w:rPr>
      </w:pPr>
      <w:r>
        <w:rPr>
          <w:rFonts w:hint="eastAsia"/>
          <w:sz w:val="20"/>
          <w:szCs w:val="20"/>
          <w:lang w:val="en-US" w:eastAsia="zh-CN"/>
        </w:rPr>
        <w:t xml:space="preserve">With regard to the antenna configuration, </w:t>
      </w:r>
      <w:r>
        <w:rPr>
          <w:rFonts w:hint="eastAsia" w:cs="Times New Roman"/>
          <w:kern w:val="2"/>
          <w:sz w:val="20"/>
          <w:szCs w:val="20"/>
          <w:lang w:val="en-US" w:eastAsia="zh-CN" w:bidi="ar-SA"/>
        </w:rPr>
        <w:t>since BS side can support up to 8Rx, lager performance gain can be verified. 2/4Rx also need to be considered for different BS types. 1Tx can be prioritized for requirement definition as 1Tx is also used for LTE.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val="0"/>
              <w:topLinePunct w:val="0"/>
              <w:autoSpaceDE w:val="0"/>
              <w:autoSpaceDN w:val="0"/>
              <w:bidi w:val="0"/>
              <w:adjustRightInd w:val="0"/>
              <w:snapToGrid w:val="0"/>
              <w:spacing w:after="180" w:afterLines="0" w:line="240" w:lineRule="auto"/>
              <w:textAlignment w:val="baseline"/>
              <w:rPr>
                <w:b/>
                <w:sz w:val="20"/>
                <w:szCs w:val="20"/>
                <w:u w:val="single"/>
              </w:rPr>
            </w:pPr>
            <w:r>
              <w:rPr>
                <w:b/>
                <w:sz w:val="20"/>
                <w:szCs w:val="20"/>
                <w:u w:val="single"/>
              </w:rPr>
              <w:t>Antenna configuration</w:t>
            </w:r>
          </w:p>
          <w:p>
            <w:pPr>
              <w:pStyle w:val="33"/>
              <w:keepNext w:val="0"/>
              <w:keepLines w:val="0"/>
              <w:pageBreakBefore w:val="0"/>
              <w:numPr>
                <w:ilvl w:val="0"/>
                <w:numId w:val="9"/>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sz w:val="20"/>
                <w:szCs w:val="20"/>
                <w:lang w:eastAsia="zh-CN"/>
              </w:rPr>
            </w:pPr>
            <w:r>
              <w:rPr>
                <w:rFonts w:eastAsia="宋体"/>
                <w:sz w:val="20"/>
                <w:szCs w:val="20"/>
                <w:lang w:eastAsia="zh-CN"/>
              </w:rPr>
              <w:t>Candidate options:</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1: Cover 2/4/8 Rx with 1Tx</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2: Consider only 4RX and 8RX gNB</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3: Cover 2/4/8 Rx with 1/2/4 Tx</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4: Prioritize 4Rx case especially in the case of 2 explicit interferers</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val="0"/>
              <w:bidi w:val="0"/>
              <w:adjustRightInd w:val="0"/>
              <w:snapToGrid w:val="0"/>
              <w:spacing w:before="60" w:after="180" w:afterLines="0" w:line="240" w:lineRule="auto"/>
              <w:ind w:left="730" w:leftChars="213" w:hanging="283"/>
              <w:textAlignment w:val="auto"/>
              <w:rPr>
                <w:rFonts w:hint="default"/>
                <w:sz w:val="20"/>
                <w:szCs w:val="20"/>
                <w:vertAlign w:val="baseline"/>
                <w:lang w:val="en-US" w:eastAsia="zh-CN"/>
              </w:rPr>
            </w:pPr>
            <w:r>
              <w:rPr>
                <w:rFonts w:hint="eastAsia"/>
                <w:sz w:val="20"/>
                <w:szCs w:val="20"/>
                <w:lang w:eastAsia="zh-CN"/>
              </w:rPr>
              <w:t>O</w:t>
            </w:r>
            <w:r>
              <w:rPr>
                <w:sz w:val="20"/>
                <w:szCs w:val="20"/>
                <w:lang w:eastAsia="zh-CN"/>
              </w:rPr>
              <w:t>ption 5: Prioritize 1Tx</w:t>
            </w:r>
          </w:p>
        </w:tc>
      </w:tr>
    </w:tbl>
    <w:p>
      <w:pPr>
        <w:widowControl w:val="0"/>
        <w:spacing w:beforeLines="100" w:afterLines="0" w:line="240" w:lineRule="auto"/>
        <w:jc w:val="both"/>
        <w:rPr>
          <w:rFonts w:hint="eastAsia" w:cs="Times New Roman"/>
          <w:kern w:val="2"/>
          <w:sz w:val="20"/>
          <w:szCs w:val="20"/>
          <w:lang w:val="en-US" w:eastAsia="zh-CN" w:bidi="ar-SA"/>
        </w:rPr>
      </w:pPr>
      <w:r>
        <w:rPr>
          <w:rFonts w:hint="eastAsia"/>
          <w:b/>
          <w:bCs/>
          <w:i/>
          <w:iCs/>
          <w:sz w:val="20"/>
          <w:szCs w:val="20"/>
          <w:lang w:val="en-US" w:eastAsia="zh-CN"/>
        </w:rPr>
        <w:t xml:space="preserve">Proposal 6. </w:t>
      </w:r>
      <w:r>
        <w:rPr>
          <w:rFonts w:hint="eastAsia"/>
          <w:b/>
          <w:bCs/>
          <w:i/>
          <w:iCs/>
          <w:sz w:val="20"/>
        </w:rPr>
        <w:t>Option 3: Cover 2/4/8 Rx with 1/2/4 Tx</w:t>
      </w:r>
      <w:r>
        <w:rPr>
          <w:rFonts w:hint="eastAsia"/>
          <w:b/>
          <w:bCs/>
          <w:i/>
          <w:iCs/>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With regard to the channel model, some options are identified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sz w:val="20"/>
                <w:szCs w:val="20"/>
                <w:u w:val="single"/>
              </w:rPr>
            </w:pPr>
            <w:r>
              <w:rPr>
                <w:b/>
                <w:sz w:val="20"/>
                <w:szCs w:val="20"/>
                <w:u w:val="single"/>
              </w:rPr>
              <w:t>Propagation condition</w:t>
            </w:r>
          </w:p>
          <w:p>
            <w:pPr>
              <w:pStyle w:val="33"/>
              <w:keepNext w:val="0"/>
              <w:keepLines w:val="0"/>
              <w:pageBreakBefore w:val="0"/>
              <w:numPr>
                <w:ilvl w:val="0"/>
                <w:numId w:val="9"/>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sz w:val="20"/>
                <w:szCs w:val="20"/>
                <w:lang w:eastAsia="zh-CN"/>
              </w:rPr>
            </w:pPr>
            <w:r>
              <w:rPr>
                <w:rFonts w:eastAsia="宋体"/>
                <w:sz w:val="20"/>
                <w:szCs w:val="20"/>
                <w:lang w:eastAsia="zh-CN"/>
              </w:rPr>
              <w:t>Candidate options:</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sz w:val="20"/>
                <w:szCs w:val="20"/>
                <w:lang w:eastAsia="zh-CN"/>
              </w:rPr>
              <w:t>Option 1:</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the serving PUSCH, use TDLA30-10 and TDLC300-100 propagation channel model for HetNet and HomNet respectively</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Introduce new propagation channel for testing with desired delay spread 1000ns for the interference PUSCH, i.e., TDLC1000.</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2: Select among legacy TDLA30, TDLB100, TDLC300</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Option 2A:</w:t>
            </w:r>
          </w:p>
          <w:p>
            <w:pPr>
              <w:pStyle w:val="33"/>
              <w:keepNext w:val="0"/>
              <w:keepLines w:val="0"/>
              <w:pageBreakBefore w:val="0"/>
              <w:numPr>
                <w:ilvl w:val="0"/>
                <w:numId w:val="12"/>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 xml:space="preserve">Cover TDLA30-10, TDLB100-400 and TDLC300-100 </w:t>
            </w:r>
          </w:p>
          <w:p>
            <w:pPr>
              <w:pStyle w:val="33"/>
              <w:keepNext w:val="0"/>
              <w:keepLines w:val="0"/>
              <w:pageBreakBefore w:val="0"/>
              <w:numPr>
                <w:ilvl w:val="0"/>
                <w:numId w:val="12"/>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Same propagation condition for serving and interference PUSCH</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Option 2B:</w:t>
            </w:r>
          </w:p>
          <w:p>
            <w:pPr>
              <w:pStyle w:val="33"/>
              <w:keepNext w:val="0"/>
              <w:keepLines w:val="0"/>
              <w:pageBreakBefore w:val="0"/>
              <w:numPr>
                <w:ilvl w:val="0"/>
                <w:numId w:val="12"/>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the serving PUSCH, use TDLA30-10 for HetNet and TDLB100-100 for HomNet</w:t>
            </w:r>
          </w:p>
          <w:p>
            <w:pPr>
              <w:pStyle w:val="33"/>
              <w:keepNext w:val="0"/>
              <w:keepLines w:val="0"/>
              <w:pageBreakBefore w:val="0"/>
              <w:numPr>
                <w:ilvl w:val="0"/>
                <w:numId w:val="12"/>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For the interference PUSCH, use TDLC300-100</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Option 2C:</w:t>
            </w:r>
          </w:p>
          <w:p>
            <w:pPr>
              <w:pStyle w:val="33"/>
              <w:keepNext w:val="0"/>
              <w:keepLines w:val="0"/>
              <w:pageBreakBefore w:val="0"/>
              <w:numPr>
                <w:ilvl w:val="0"/>
                <w:numId w:val="12"/>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Cover TDLB100-400, TDLC300-100 and TDLA30-10 low for study purpose, select one for requirement definition</w:t>
            </w:r>
          </w:p>
          <w:p>
            <w:pPr>
              <w:pStyle w:val="33"/>
              <w:keepNext w:val="0"/>
              <w:keepLines w:val="0"/>
              <w:pageBreakBefore w:val="0"/>
              <w:numPr>
                <w:ilvl w:val="0"/>
                <w:numId w:val="12"/>
              </w:numPr>
              <w:kinsoku/>
              <w:wordWrap/>
              <w:overflowPunct/>
              <w:topLinePunct w:val="0"/>
              <w:autoSpaceDE/>
              <w:autoSpaceDN/>
              <w:bidi w:val="0"/>
              <w:adjustRightInd w:val="0"/>
              <w:snapToGrid w:val="0"/>
              <w:spacing w:before="60" w:after="180" w:afterLines="0" w:line="240" w:lineRule="auto"/>
              <w:ind w:firstLineChars="0"/>
              <w:textAlignment w:val="auto"/>
              <w:rPr>
                <w:rFonts w:hint="default"/>
                <w:sz w:val="20"/>
                <w:szCs w:val="20"/>
                <w:vertAlign w:val="baseline"/>
                <w:lang w:val="en-US" w:eastAsia="zh-CN"/>
              </w:rPr>
            </w:pPr>
            <w:r>
              <w:rPr>
                <w:sz w:val="20"/>
                <w:szCs w:val="20"/>
                <w:lang w:eastAsia="zh-CN"/>
              </w:rPr>
              <w:t>For the interference PUSCH, use TDLC300-100</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From table 8.2.6.1-1 to table 8.2.6.1-6 in TS 36.104</w:t>
      </w:r>
      <w:r>
        <w:rPr>
          <w:rFonts w:hint="eastAsia"/>
          <w:sz w:val="20"/>
          <w:szCs w:val="20"/>
          <w:vertAlign w:val="superscript"/>
          <w:lang w:val="en-US" w:eastAsia="zh-CN"/>
        </w:rPr>
        <w:t>[3]</w:t>
      </w:r>
      <w:r>
        <w:rPr>
          <w:rFonts w:hint="eastAsia"/>
          <w:sz w:val="20"/>
          <w:szCs w:val="20"/>
          <w:lang w:val="en-US" w:eastAsia="zh-CN"/>
        </w:rPr>
        <w:t xml:space="preserve"> we can see that tested signal experiences one channel model(EPA 5 Low or EVA 70 Low), while the interferers (interferer 1 and interferer 2) experience another channel model(ETU 5 Low or ETU 70 Low). Channel models such as TDLA30-10 Low, TDLC300-100 Low and TDLB100-400 Low are used for NR BS requirement definition. These TDL channel models can be considered for requirement definition. From LTE requirement, it can be seen that the tested signal and the interferer signal experience different channel. If more than one MCS are considered, then different channel model can be selected for different MCS.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To select one channel model, such as TDLB, as the channel model for interferer for NR BS MMSE-IRC requirement definition.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8. Multiple channel models for the tested signal can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MCS for requirement definition, the following options are identified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after="180" w:afterLines="0" w:line="240" w:lineRule="auto"/>
              <w:textAlignment w:val="auto"/>
              <w:rPr>
                <w:b/>
                <w:sz w:val="20"/>
                <w:szCs w:val="20"/>
                <w:u w:val="single"/>
              </w:rPr>
            </w:pPr>
            <w:r>
              <w:rPr>
                <w:b/>
                <w:sz w:val="20"/>
                <w:szCs w:val="20"/>
                <w:u w:val="single"/>
              </w:rPr>
              <w:t>MCS</w:t>
            </w:r>
          </w:p>
          <w:p>
            <w:pPr>
              <w:pStyle w:val="33"/>
              <w:keepNext w:val="0"/>
              <w:keepLines w:val="0"/>
              <w:pageBreakBefore w:val="0"/>
              <w:numPr>
                <w:ilvl w:val="0"/>
                <w:numId w:val="9"/>
              </w:numPr>
              <w:kinsoku/>
              <w:wordWrap/>
              <w:overflowPunct/>
              <w:topLinePunct w:val="0"/>
              <w:autoSpaceDE/>
              <w:autoSpaceDN/>
              <w:bidi w:val="0"/>
              <w:adjustRightInd w:val="0"/>
              <w:snapToGrid w:val="0"/>
              <w:spacing w:before="60" w:after="180" w:afterLines="0" w:line="240" w:lineRule="auto"/>
              <w:ind w:left="284" w:hanging="284" w:firstLineChars="0"/>
              <w:textAlignment w:val="auto"/>
              <w:rPr>
                <w:rFonts w:eastAsia="宋体"/>
                <w:sz w:val="20"/>
                <w:szCs w:val="20"/>
                <w:lang w:eastAsia="zh-CN"/>
              </w:rPr>
            </w:pPr>
            <w:r>
              <w:rPr>
                <w:rFonts w:eastAsia="宋体"/>
                <w:sz w:val="20"/>
                <w:szCs w:val="20"/>
                <w:lang w:eastAsia="zh-CN"/>
              </w:rPr>
              <w:t>Candidate options:</w:t>
            </w:r>
          </w:p>
          <w:p>
            <w:pPr>
              <w:keepNext w:val="0"/>
              <w:keepLines w:val="0"/>
              <w:pageBreakBefore w:val="0"/>
              <w:widowControl w:val="0"/>
              <w:numPr>
                <w:ilvl w:val="1"/>
                <w:numId w:val="10"/>
              </w:numPr>
              <w:tabs>
                <w:tab w:val="left" w:pos="484"/>
                <w:tab w:val="left" w:pos="709"/>
                <w:tab w:val="left" w:pos="1440"/>
              </w:tabs>
              <w:kinsoku/>
              <w:wordWrap/>
              <w:overflowPunct/>
              <w:topLinePunct w:val="0"/>
              <w:autoSpaceDE/>
              <w:autoSpaceDN/>
              <w:bidi w:val="0"/>
              <w:adjustRightInd w:val="0"/>
              <w:snapToGrid w:val="0"/>
              <w:spacing w:before="60" w:after="180" w:afterLines="0" w:line="240" w:lineRule="auto"/>
              <w:ind w:left="730" w:leftChars="213" w:hanging="283"/>
              <w:textAlignment w:val="auto"/>
              <w:rPr>
                <w:sz w:val="20"/>
                <w:szCs w:val="20"/>
                <w:lang w:eastAsia="zh-CN"/>
              </w:rPr>
            </w:pPr>
            <w:r>
              <w:rPr>
                <w:rFonts w:hint="eastAsia"/>
                <w:sz w:val="20"/>
                <w:szCs w:val="20"/>
                <w:lang w:eastAsia="zh-CN"/>
              </w:rPr>
              <w:t>O</w:t>
            </w:r>
            <w:r>
              <w:rPr>
                <w:sz w:val="20"/>
                <w:szCs w:val="20"/>
                <w:lang w:eastAsia="zh-CN"/>
              </w:rPr>
              <w:t>ption 1: Cover QPSK/16QAM/64QAM</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sz w:val="20"/>
                <w:szCs w:val="20"/>
                <w:lang w:eastAsia="zh-CN"/>
              </w:rPr>
              <w:t>Option 1A: Use MCS 5(QPSK, R=379/1024), MCS 13(16QAM, R=490/1024) and MCS 24(64QAM, R=772/1024)</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sz w:val="20"/>
                <w:szCs w:val="20"/>
                <w:lang w:eastAsia="zh-CN"/>
              </w:rPr>
            </w:pPr>
            <w:r>
              <w:rPr>
                <w:rFonts w:hint="eastAsia"/>
                <w:sz w:val="20"/>
                <w:szCs w:val="20"/>
                <w:lang w:eastAsia="zh-CN"/>
              </w:rPr>
              <w:t>O</w:t>
            </w:r>
            <w:r>
              <w:rPr>
                <w:sz w:val="20"/>
                <w:szCs w:val="20"/>
                <w:lang w:eastAsia="zh-CN"/>
              </w:rPr>
              <w:t xml:space="preserve">ption 1B: </w:t>
            </w:r>
            <w:r>
              <w:rPr>
                <w:sz w:val="20"/>
                <w:szCs w:val="20"/>
              </w:rPr>
              <w:t>MCS index 2, 12, 20 in MCS table 1</w:t>
            </w:r>
          </w:p>
          <w:p>
            <w:pPr>
              <w:pStyle w:val="33"/>
              <w:keepNext w:val="0"/>
              <w:keepLines w:val="0"/>
              <w:pageBreakBefore w:val="0"/>
              <w:numPr>
                <w:ilvl w:val="0"/>
                <w:numId w:val="11"/>
              </w:numPr>
              <w:kinsoku/>
              <w:wordWrap/>
              <w:overflowPunct/>
              <w:topLinePunct w:val="0"/>
              <w:autoSpaceDE/>
              <w:autoSpaceDN/>
              <w:bidi w:val="0"/>
              <w:adjustRightInd w:val="0"/>
              <w:snapToGrid w:val="0"/>
              <w:spacing w:before="60" w:after="180" w:afterLines="0" w:line="240" w:lineRule="auto"/>
              <w:ind w:firstLineChars="0"/>
              <w:textAlignment w:val="auto"/>
              <w:rPr>
                <w:rFonts w:hint="eastAsia"/>
                <w:sz w:val="20"/>
                <w:szCs w:val="20"/>
                <w:vertAlign w:val="baseline"/>
                <w:lang w:val="en-US" w:eastAsia="zh-CN"/>
              </w:rPr>
            </w:pPr>
            <w:r>
              <w:rPr>
                <w:rFonts w:hint="eastAsia"/>
                <w:sz w:val="20"/>
                <w:szCs w:val="20"/>
                <w:lang w:eastAsia="zh-CN"/>
              </w:rPr>
              <w:t>O</w:t>
            </w:r>
            <w:r>
              <w:rPr>
                <w:sz w:val="20"/>
                <w:szCs w:val="20"/>
                <w:lang w:eastAsia="zh-CN"/>
              </w:rPr>
              <w:t>ption 1C: Cover MCS 2, 16, 20</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From TS 36.104</w:t>
      </w:r>
      <w:r>
        <w:rPr>
          <w:rFonts w:hint="eastAsia"/>
          <w:sz w:val="20"/>
          <w:szCs w:val="20"/>
          <w:vertAlign w:val="superscript"/>
          <w:lang w:val="en-US" w:eastAsia="zh-CN"/>
        </w:rPr>
        <w:t>[3]</w:t>
      </w:r>
      <w:r>
        <w:rPr>
          <w:rFonts w:hint="eastAsia"/>
          <w:sz w:val="20"/>
          <w:szCs w:val="20"/>
          <w:lang w:val="en-US" w:eastAsia="zh-CN"/>
        </w:rPr>
        <w:t xml:space="preserve"> we see the MCS used for LTE requirement definition which is summarized in table 2-1.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sz w:val="20"/>
          <w:szCs w:val="20"/>
          <w:lang w:val="en-US" w:eastAsia="zh-CN"/>
        </w:rPr>
      </w:pPr>
      <w:r>
        <w:rPr>
          <w:rFonts w:hint="eastAsia"/>
          <w:sz w:val="20"/>
          <w:szCs w:val="20"/>
          <w:lang w:val="en-US" w:eastAsia="zh-CN"/>
        </w:rPr>
        <w:t>Table 2-1 LTE MCS and the close MCS in NR table 1</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622"/>
        <w:gridCol w:w="988"/>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Index</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Modulation order</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Code rate</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Close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default"/>
                <w:sz w:val="20"/>
                <w:szCs w:val="20"/>
                <w:vertAlign w:val="baseline"/>
                <w:lang w:val="en-US" w:eastAsia="zh-CN"/>
              </w:rPr>
              <w:t>QPSK</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default"/>
                <w:sz w:val="20"/>
                <w:szCs w:val="20"/>
                <w:vertAlign w:val="baseline"/>
                <w:lang w:val="en-US" w:eastAsia="zh-CN"/>
              </w:rPr>
              <w:t>0.36</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5(0.3700)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2</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16QAM</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default"/>
                <w:sz w:val="20"/>
                <w:szCs w:val="20"/>
                <w:vertAlign w:val="baseline"/>
                <w:lang w:val="en-US" w:eastAsia="zh-CN"/>
              </w:rPr>
              <w:t>0.51</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13(0.4785)</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14(0.5400)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3</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16QAM</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sz w:val="20"/>
                <w:szCs w:val="20"/>
                <w:vertAlign w:val="baseline"/>
                <w:lang w:val="en-US" w:eastAsia="zh-CN"/>
              </w:rPr>
            </w:pPr>
            <w:r>
              <w:rPr>
                <w:rFonts w:hint="eastAsia"/>
                <w:sz w:val="20"/>
                <w:szCs w:val="20"/>
                <w:vertAlign w:val="baseline"/>
                <w:lang w:val="en-US" w:eastAsia="zh-CN"/>
              </w:rPr>
              <w:t>3/4</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eastAsia"/>
                <w:sz w:val="20"/>
                <w:szCs w:val="20"/>
                <w:vertAlign w:val="baseline"/>
                <w:lang w:val="en-US" w:eastAsia="zh-CN"/>
              </w:rPr>
            </w:pPr>
            <w:r>
              <w:rPr>
                <w:rFonts w:hint="eastAsia"/>
                <w:sz w:val="20"/>
                <w:szCs w:val="20"/>
                <w:vertAlign w:val="baseline"/>
                <w:lang w:val="en-US" w:eastAsia="zh-CN"/>
              </w:rPr>
              <w:t>No close code rate for 16QAM</w:t>
            </w:r>
          </w:p>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both"/>
              <w:textAlignment w:val="auto"/>
              <w:rPr>
                <w:rFonts w:hint="default"/>
                <w:sz w:val="20"/>
                <w:szCs w:val="20"/>
                <w:vertAlign w:val="baseline"/>
                <w:lang w:val="en-US" w:eastAsia="zh-CN"/>
              </w:rPr>
            </w:pPr>
            <w:r>
              <w:rPr>
                <w:rFonts w:hint="eastAsia"/>
                <w:sz w:val="20"/>
                <w:szCs w:val="20"/>
                <w:vertAlign w:val="baseline"/>
                <w:lang w:val="en-US" w:eastAsia="zh-CN"/>
              </w:rPr>
              <w:t>24 for 64QAM(0.7539)</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Due to the conclusion that QPSK/16QAM/64QAM need to be covered, it is recommended to at least use the MCS value given in option 1 for QPSK and 16QAM.</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9. To consider MCS 5(QPSK, R=379/1024) and MCS 13(16QAM, R=490/1024) for BS MMSE-IRC requirement definition and FFS the MCS for 64QAM.</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of MMSE-IRC receiver for NR BS, The conclusions are:</w:t>
      </w:r>
    </w:p>
    <w:p>
      <w:pPr>
        <w:widowControl w:val="0"/>
        <w:spacing w:beforeLines="100" w:afterLines="0" w:line="240" w:lineRule="auto"/>
        <w:jc w:val="both"/>
        <w:rPr>
          <w:rFonts w:hint="eastAsia" w:cs="Times New Roman"/>
          <w:kern w:val="2"/>
          <w:sz w:val="21"/>
          <w:lang w:val="en-US" w:eastAsia="zh-CN" w:bidi="ar-SA"/>
        </w:rPr>
      </w:pPr>
      <w:r>
        <w:rPr>
          <w:rFonts w:hint="eastAsia"/>
          <w:b/>
          <w:bCs/>
          <w:i/>
          <w:iCs/>
          <w:szCs w:val="21"/>
          <w:lang w:val="en-US" w:eastAsia="zh-CN"/>
        </w:rPr>
        <w:t>Proposal 1. Proposal 1 is prioritized and proposal 2 needs further discussion.</w:t>
      </w:r>
    </w:p>
    <w:p>
      <w:pPr>
        <w:widowControl w:val="0"/>
        <w:spacing w:beforeLines="100" w:afterLines="0" w:line="240" w:lineRule="auto"/>
        <w:jc w:val="both"/>
        <w:rPr>
          <w:rFonts w:hint="eastAsia" w:cs="Times New Roman"/>
          <w:b/>
          <w:bCs/>
          <w:i/>
          <w:iCs/>
          <w:kern w:val="2"/>
          <w:sz w:val="20"/>
          <w:szCs w:val="20"/>
          <w:lang w:val="en-US" w:eastAsia="zh-CN"/>
        </w:rPr>
      </w:pPr>
      <w:r>
        <w:rPr>
          <w:rFonts w:hint="eastAsia"/>
          <w:b/>
          <w:bCs/>
          <w:i/>
          <w:iCs/>
          <w:szCs w:val="21"/>
          <w:lang w:val="en-US" w:eastAsia="zh-CN"/>
        </w:rPr>
        <w:t>Proposal 2. To adopt option 2: DIP-based modelling for interference modeling.</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default" w:cs="Times New Roman"/>
          <w:kern w:val="2"/>
          <w:sz w:val="20"/>
          <w:szCs w:val="20"/>
          <w:lang w:val="en-US" w:eastAsia="zh-CN" w:bidi="ar-SA"/>
        </w:rPr>
      </w:pPr>
      <w:r>
        <w:rPr>
          <w:rFonts w:hint="eastAsia"/>
          <w:b/>
          <w:bCs/>
          <w:i/>
          <w:iCs/>
          <w:sz w:val="20"/>
          <w:szCs w:val="20"/>
          <w:lang w:val="en-US" w:eastAsia="zh-CN"/>
        </w:rPr>
        <w:t xml:space="preserve">Proposal 3. </w:t>
      </w:r>
      <w:r>
        <w:rPr>
          <w:rFonts w:hint="eastAsia"/>
          <w:b/>
          <w:bCs/>
          <w:i/>
          <w:iCs/>
          <w:sz w:val="20"/>
        </w:rPr>
        <w:t>Reus</w:t>
      </w:r>
      <w:r>
        <w:rPr>
          <w:rFonts w:hint="eastAsia"/>
          <w:b/>
          <w:bCs/>
          <w:i/>
          <w:iCs/>
          <w:sz w:val="20"/>
          <w:lang w:val="en-US" w:eastAsia="zh-CN"/>
        </w:rPr>
        <w:t>ing</w:t>
      </w:r>
      <w:r>
        <w:rPr>
          <w:rFonts w:hint="eastAsia"/>
          <w:b/>
          <w:bCs/>
          <w:i/>
          <w:iCs/>
          <w:sz w:val="20"/>
        </w:rPr>
        <w:t xml:space="preserve"> LTE based interference profile </w:t>
      </w:r>
      <w:r>
        <w:rPr>
          <w:rFonts w:hint="eastAsia"/>
          <w:b/>
          <w:bCs/>
          <w:i/>
          <w:iCs/>
          <w:sz w:val="20"/>
          <w:lang w:val="en-US" w:eastAsia="zh-CN"/>
        </w:rPr>
        <w:t>is preferred. We also hold an open view on reflecting HPUE in the interference profile.</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eastAsia" w:cs="Times New Roman"/>
          <w:kern w:val="2"/>
          <w:sz w:val="20"/>
          <w:szCs w:val="20"/>
          <w:lang w:val="en-US" w:eastAsia="zh-CN" w:bidi="ar-SA"/>
        </w:rPr>
      </w:pPr>
      <w:r>
        <w:rPr>
          <w:rFonts w:hint="eastAsia"/>
          <w:b/>
          <w:bCs/>
          <w:i/>
          <w:iCs/>
          <w:sz w:val="20"/>
          <w:szCs w:val="20"/>
          <w:lang w:val="en-US" w:eastAsia="zh-CN"/>
        </w:rPr>
        <w:t>Proposal 4. To select one channel bandwidth for each SCS, for example, 5MHz BW for 15kHz SCS and 10MHz BW for 30kHz SCS.</w:t>
      </w:r>
    </w:p>
    <w:p>
      <w:pPr>
        <w:keepNext w:val="0"/>
        <w:keepLines w:val="0"/>
        <w:pageBreakBefore w:val="0"/>
        <w:widowControl w:val="0"/>
        <w:kinsoku/>
        <w:wordWrap/>
        <w:overflowPunct/>
        <w:topLinePunct w:val="0"/>
        <w:autoSpaceDE/>
        <w:autoSpaceDN/>
        <w:bidi w:val="0"/>
        <w:adjustRightInd w:val="0"/>
        <w:snapToGrid w:val="0"/>
        <w:spacing w:beforeLines="100" w:afterLines="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5. If DFT-s-OFDM is rarely used in real deployment, we can only define the performance requirements for CP-OFDM.</w:t>
      </w:r>
    </w:p>
    <w:p>
      <w:pPr>
        <w:widowControl w:val="0"/>
        <w:spacing w:beforeLines="100" w:afterLines="0" w:line="240" w:lineRule="auto"/>
        <w:jc w:val="both"/>
        <w:rPr>
          <w:rFonts w:hint="eastAsia"/>
          <w:b/>
          <w:bCs/>
          <w:i/>
          <w:iCs/>
          <w:sz w:val="20"/>
          <w:szCs w:val="20"/>
          <w:lang w:val="en-US" w:eastAsia="zh-CN"/>
        </w:rPr>
      </w:pPr>
      <w:r>
        <w:rPr>
          <w:rFonts w:hint="eastAsia"/>
          <w:b/>
          <w:bCs/>
          <w:i/>
          <w:iCs/>
          <w:sz w:val="20"/>
          <w:szCs w:val="20"/>
          <w:lang w:val="en-US" w:eastAsia="zh-CN"/>
        </w:rPr>
        <w:t xml:space="preserve">Proposal 6. </w:t>
      </w:r>
      <w:r>
        <w:rPr>
          <w:rFonts w:hint="eastAsia"/>
          <w:b/>
          <w:bCs/>
          <w:i/>
          <w:iCs/>
          <w:sz w:val="20"/>
        </w:rPr>
        <w:t>Option 3: Cover 2/4/8 Rx with 1/2/4 Tx</w:t>
      </w:r>
      <w:r>
        <w:rPr>
          <w:rFonts w:hint="eastAsia"/>
          <w:b/>
          <w:bCs/>
          <w:i/>
          <w:iCs/>
          <w:sz w:val="20"/>
          <w:szCs w:val="20"/>
          <w:lang w:val="en-US" w:eastAsia="zh-CN"/>
        </w:rPr>
        <w:t>.</w:t>
      </w:r>
      <w:bookmarkStart w:id="8" w:name="_GoBack"/>
      <w:bookmarkEnd w:id="8"/>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To select one channel model, such as TDLB, as the channel model for interferer for NR BS MMSE-IRC requirement definition.</w:t>
      </w:r>
    </w:p>
    <w:p>
      <w:pPr>
        <w:widowControl w:val="0"/>
        <w:spacing w:beforeLines="100" w:afterLines="0" w:line="240" w:lineRule="auto"/>
        <w:jc w:val="both"/>
        <w:rPr>
          <w:rFonts w:hint="eastAsia"/>
          <w:b/>
          <w:bCs/>
          <w:i/>
          <w:iCs/>
          <w:sz w:val="20"/>
          <w:szCs w:val="20"/>
          <w:lang w:val="en-US" w:eastAsia="zh-CN"/>
        </w:rPr>
      </w:pPr>
      <w:r>
        <w:rPr>
          <w:rFonts w:hint="eastAsia"/>
          <w:b/>
          <w:bCs/>
          <w:i/>
          <w:iCs/>
          <w:szCs w:val="21"/>
          <w:lang w:val="en-US" w:eastAsia="zh-CN"/>
        </w:rPr>
        <w:t>Proposal 8. Multiple channel models for the tested signal can be considered.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9. To consider MCS 5(QPSK, R=379/1024) and MCS 13(16QAM, R=490/1024) for BS MMSE-IRC requirement definition and FFS the MCS for 64QAM.</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3"/>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RP-241297, Revised WID on NR demodulation performance: Phase 5, . </w:t>
      </w:r>
    </w:p>
    <w:p>
      <w:pPr>
        <w:pStyle w:val="33"/>
        <w:numPr>
          <w:ilvl w:val="0"/>
          <w:numId w:val="13"/>
        </w:numPr>
        <w:spacing w:afterLines="0" w:line="259" w:lineRule="auto"/>
        <w:ind w:right="-22"/>
        <w:jc w:val="left"/>
        <w:rPr>
          <w:rFonts w:hint="default"/>
          <w:sz w:val="20"/>
          <w:lang w:val="en-US" w:eastAsia="zh-CN"/>
        </w:rPr>
      </w:pPr>
      <w:r>
        <w:rPr>
          <w:rFonts w:hint="default"/>
          <w:sz w:val="20"/>
          <w:lang w:val="en-US" w:eastAsia="zh-CN"/>
        </w:rPr>
        <w:t>R4-2413570</w:t>
      </w:r>
      <w:r>
        <w:rPr>
          <w:rFonts w:hint="eastAsia"/>
          <w:sz w:val="20"/>
          <w:lang w:val="en-US" w:eastAsia="zh-CN"/>
        </w:rPr>
        <w:t>, WF on NR demodulation performance: Phase 5, China Telcom</w:t>
      </w:r>
    </w:p>
    <w:p>
      <w:pPr>
        <w:pStyle w:val="33"/>
        <w:numPr>
          <w:ilvl w:val="0"/>
          <w:numId w:val="13"/>
        </w:numPr>
        <w:spacing w:afterLines="0" w:line="259" w:lineRule="auto"/>
        <w:ind w:right="-22"/>
        <w:jc w:val="left"/>
        <w:rPr>
          <w:rFonts w:hint="default"/>
          <w:sz w:val="20"/>
          <w:lang w:val="en-US" w:eastAsia="zh-CN"/>
        </w:rPr>
      </w:pPr>
      <w:r>
        <w:rPr>
          <w:rFonts w:hint="default"/>
          <w:sz w:val="20"/>
          <w:lang w:val="en-US" w:eastAsia="zh-CN"/>
        </w:rPr>
        <w:t>3GPP TS 36.104 V18.5.0</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4CD5D2"/>
    <w:multiLevelType w:val="singleLevel"/>
    <w:tmpl w:val="094CD5D2"/>
    <w:lvl w:ilvl="0" w:tentative="0">
      <w:start w:val="2"/>
      <w:numFmt w:val="decimal"/>
      <w:lvlText w:val="%1"/>
      <w:lvlJc w:val="left"/>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8C02468"/>
    <w:multiLevelType w:val="multilevel"/>
    <w:tmpl w:val="48C02468"/>
    <w:lvl w:ilvl="0" w:tentative="0">
      <w:start w:val="1"/>
      <w:numFmt w:val="bullet"/>
      <w:lvlText w:val=""/>
      <w:lvlJc w:val="left"/>
      <w:pPr>
        <w:ind w:left="1691" w:hanging="420"/>
      </w:pPr>
      <w:rPr>
        <w:rFonts w:hint="default" w:ascii="Wingdings" w:hAnsi="Wingdings"/>
      </w:rPr>
    </w:lvl>
    <w:lvl w:ilvl="1" w:tentative="0">
      <w:start w:val="1"/>
      <w:numFmt w:val="bullet"/>
      <w:lvlText w:val=""/>
      <w:lvlJc w:val="left"/>
      <w:pPr>
        <w:ind w:left="2111" w:hanging="420"/>
      </w:pPr>
      <w:rPr>
        <w:rFonts w:hint="default" w:ascii="Wingdings" w:hAnsi="Wingdings"/>
      </w:rPr>
    </w:lvl>
    <w:lvl w:ilvl="2" w:tentative="0">
      <w:start w:val="1"/>
      <w:numFmt w:val="bullet"/>
      <w:lvlText w:val=""/>
      <w:lvlJc w:val="left"/>
      <w:pPr>
        <w:ind w:left="2531" w:hanging="420"/>
      </w:pPr>
      <w:rPr>
        <w:rFonts w:hint="default" w:ascii="Wingdings" w:hAnsi="Wingdings"/>
      </w:rPr>
    </w:lvl>
    <w:lvl w:ilvl="3" w:tentative="0">
      <w:start w:val="1"/>
      <w:numFmt w:val="bullet"/>
      <w:lvlText w:val=""/>
      <w:lvlJc w:val="left"/>
      <w:pPr>
        <w:ind w:left="2951" w:hanging="420"/>
      </w:pPr>
      <w:rPr>
        <w:rFonts w:hint="default" w:ascii="Wingdings" w:hAnsi="Wingdings"/>
      </w:rPr>
    </w:lvl>
    <w:lvl w:ilvl="4" w:tentative="0">
      <w:start w:val="1"/>
      <w:numFmt w:val="bullet"/>
      <w:lvlText w:val=""/>
      <w:lvlJc w:val="left"/>
      <w:pPr>
        <w:ind w:left="3371" w:hanging="420"/>
      </w:pPr>
      <w:rPr>
        <w:rFonts w:hint="default" w:ascii="Wingdings" w:hAnsi="Wingdings"/>
      </w:rPr>
    </w:lvl>
    <w:lvl w:ilvl="5" w:tentative="0">
      <w:start w:val="1"/>
      <w:numFmt w:val="bullet"/>
      <w:lvlText w:val=""/>
      <w:lvlJc w:val="left"/>
      <w:pPr>
        <w:ind w:left="3791" w:hanging="420"/>
      </w:pPr>
      <w:rPr>
        <w:rFonts w:hint="default" w:ascii="Wingdings" w:hAnsi="Wingdings"/>
      </w:rPr>
    </w:lvl>
    <w:lvl w:ilvl="6" w:tentative="0">
      <w:start w:val="1"/>
      <w:numFmt w:val="bullet"/>
      <w:lvlText w:val=""/>
      <w:lvlJc w:val="left"/>
      <w:pPr>
        <w:ind w:left="4211" w:hanging="420"/>
      </w:pPr>
      <w:rPr>
        <w:rFonts w:hint="default" w:ascii="Wingdings" w:hAnsi="Wingdings"/>
      </w:rPr>
    </w:lvl>
    <w:lvl w:ilvl="7" w:tentative="0">
      <w:start w:val="1"/>
      <w:numFmt w:val="bullet"/>
      <w:lvlText w:val=""/>
      <w:lvlJc w:val="left"/>
      <w:pPr>
        <w:ind w:left="4631" w:hanging="420"/>
      </w:pPr>
      <w:rPr>
        <w:rFonts w:hint="default" w:ascii="Wingdings" w:hAnsi="Wingdings"/>
      </w:rPr>
    </w:lvl>
    <w:lvl w:ilvl="8" w:tentative="0">
      <w:start w:val="1"/>
      <w:numFmt w:val="bullet"/>
      <w:lvlText w:val=""/>
      <w:lvlJc w:val="left"/>
      <w:pPr>
        <w:ind w:left="5051" w:hanging="420"/>
      </w:pPr>
      <w:rPr>
        <w:rFonts w:hint="default" w:ascii="Wingdings" w:hAnsi="Wingdings"/>
      </w:rPr>
    </w:lvl>
  </w:abstractNum>
  <w:abstractNum w:abstractNumId="8">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1"/>
  </w:num>
  <w:num w:numId="3">
    <w:abstractNumId w:val="5"/>
  </w:num>
  <w:num w:numId="4">
    <w:abstractNumId w:val="6"/>
  </w:num>
  <w:num w:numId="5">
    <w:abstractNumId w:val="1"/>
  </w:num>
  <w:num w:numId="6">
    <w:abstractNumId w:val="0"/>
  </w:num>
  <w:num w:numId="7">
    <w:abstractNumId w:val="12"/>
  </w:num>
  <w:num w:numId="8">
    <w:abstractNumId w:val="2"/>
  </w:num>
  <w:num w:numId="9">
    <w:abstractNumId w:val="9"/>
  </w:num>
  <w:num w:numId="10">
    <w:abstractNumId w:val="4"/>
  </w:num>
  <w:num w:numId="11">
    <w:abstractNumId w:val="8"/>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156FD"/>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817D9"/>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0C4E29"/>
    <w:rsid w:val="161C1C58"/>
    <w:rsid w:val="162F7556"/>
    <w:rsid w:val="16307A49"/>
    <w:rsid w:val="16413A3A"/>
    <w:rsid w:val="1644500C"/>
    <w:rsid w:val="16461A95"/>
    <w:rsid w:val="16555897"/>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387A"/>
    <w:rsid w:val="198A41A1"/>
    <w:rsid w:val="19987C27"/>
    <w:rsid w:val="199A2059"/>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887F78"/>
    <w:rsid w:val="1D9E30A9"/>
    <w:rsid w:val="1DA42735"/>
    <w:rsid w:val="1DAB1006"/>
    <w:rsid w:val="1DB33C11"/>
    <w:rsid w:val="1DC65562"/>
    <w:rsid w:val="1DE94164"/>
    <w:rsid w:val="1DEE1B11"/>
    <w:rsid w:val="1E1149E3"/>
    <w:rsid w:val="1E164B52"/>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8A05DD"/>
    <w:rsid w:val="28937D89"/>
    <w:rsid w:val="289B0550"/>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9082A"/>
    <w:rsid w:val="3069301C"/>
    <w:rsid w:val="307B0C38"/>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91098B"/>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1E5890"/>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EA3E7B"/>
    <w:rsid w:val="5BEB0120"/>
    <w:rsid w:val="5BEC175C"/>
    <w:rsid w:val="5BF50444"/>
    <w:rsid w:val="5C097C4E"/>
    <w:rsid w:val="5C1A3A93"/>
    <w:rsid w:val="5C235386"/>
    <w:rsid w:val="5C2E6510"/>
    <w:rsid w:val="5C3B6CFC"/>
    <w:rsid w:val="5C4C2CF4"/>
    <w:rsid w:val="5C615117"/>
    <w:rsid w:val="5C6B1600"/>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904A7"/>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502F9F"/>
    <w:rsid w:val="725817D3"/>
    <w:rsid w:val="726E6AD4"/>
    <w:rsid w:val="727537A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2024-10-07T12:56:30Z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